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0C8" w:rsidRPr="00C819A6" w:rsidRDefault="001300C8" w:rsidP="00C819A6">
      <w:pPr>
        <w:pStyle w:val="Heading2"/>
        <w:rPr>
          <w:b w:val="0"/>
          <w:sz w:val="22"/>
          <w:szCs w:val="22"/>
        </w:rPr>
      </w:pPr>
      <w:bookmarkStart w:id="0" w:name="_GoBack"/>
      <w:bookmarkEnd w:id="0"/>
    </w:p>
    <w:p w:rsidR="00C819A6" w:rsidRPr="00C819A6" w:rsidRDefault="00C819A6" w:rsidP="00C819A6">
      <w:pPr>
        <w:pStyle w:val="Heading2"/>
        <w:jc w:val="center"/>
        <w:rPr>
          <w:rStyle w:val="ca"/>
          <w:b w:val="0"/>
          <w:color w:val="666666"/>
          <w:sz w:val="22"/>
          <w:szCs w:val="22"/>
        </w:rPr>
      </w:pPr>
      <w:r w:rsidRPr="00C819A6">
        <w:rPr>
          <w:rStyle w:val="cc"/>
          <w:b w:val="0"/>
          <w:bCs w:val="0"/>
          <w:color w:val="000000"/>
          <w:sz w:val="22"/>
          <w:szCs w:val="22"/>
          <w:bdr w:val="none" w:sz="0" w:space="0" w:color="auto" w:frame="1"/>
        </w:rPr>
        <w:t>The Hotel Corporation plc</w:t>
      </w:r>
    </w:p>
    <w:p w:rsidR="00C819A6" w:rsidRPr="00C819A6" w:rsidRDefault="00C819A6" w:rsidP="00C819A6">
      <w:pPr>
        <w:pStyle w:val="Heading2"/>
        <w:jc w:val="center"/>
        <w:rPr>
          <w:b w:val="0"/>
          <w:color w:val="666666"/>
          <w:sz w:val="22"/>
          <w:szCs w:val="22"/>
        </w:rPr>
      </w:pPr>
      <w:r w:rsidRPr="00C819A6">
        <w:rPr>
          <w:rStyle w:val="ca"/>
          <w:b w:val="0"/>
          <w:color w:val="000000"/>
          <w:sz w:val="22"/>
          <w:szCs w:val="22"/>
          <w:bdr w:val="none" w:sz="0" w:space="0" w:color="auto" w:frame="1"/>
        </w:rPr>
        <w:t>("HCP" or the "Company")</w:t>
      </w:r>
    </w:p>
    <w:p w:rsidR="00C819A6" w:rsidRPr="00C819A6" w:rsidRDefault="00C819A6" w:rsidP="00C819A6">
      <w:pPr>
        <w:pStyle w:val="Heading2"/>
        <w:rPr>
          <w:rStyle w:val="bt"/>
          <w:b w:val="0"/>
          <w:bCs w:val="0"/>
          <w:color w:val="231F20"/>
          <w:sz w:val="22"/>
          <w:szCs w:val="22"/>
          <w:bdr w:val="none" w:sz="0" w:space="0" w:color="auto" w:frame="1"/>
        </w:rPr>
      </w:pPr>
    </w:p>
    <w:p w:rsidR="00C819A6" w:rsidRPr="00C819A6" w:rsidRDefault="00C819A6" w:rsidP="00C819A6">
      <w:pPr>
        <w:pStyle w:val="Heading2"/>
        <w:jc w:val="center"/>
        <w:rPr>
          <w:color w:val="666666"/>
          <w:sz w:val="22"/>
          <w:szCs w:val="22"/>
        </w:rPr>
      </w:pPr>
      <w:proofErr w:type="gramStart"/>
      <w:r w:rsidRPr="00C819A6">
        <w:rPr>
          <w:rStyle w:val="bt"/>
          <w:bCs w:val="0"/>
          <w:color w:val="231F20"/>
          <w:sz w:val="22"/>
          <w:szCs w:val="22"/>
          <w:bdr w:val="none" w:sz="0" w:space="0" w:color="auto" w:frame="1"/>
        </w:rPr>
        <w:t>Further re.</w:t>
      </w:r>
      <w:proofErr w:type="gramEnd"/>
      <w:r w:rsidRPr="00C819A6">
        <w:rPr>
          <w:rStyle w:val="bt"/>
          <w:bCs w:val="0"/>
          <w:color w:val="231F20"/>
          <w:sz w:val="22"/>
          <w:szCs w:val="22"/>
          <w:bdr w:val="none" w:sz="0" w:space="0" w:color="auto" w:frame="1"/>
        </w:rPr>
        <w:t xml:space="preserve"> Notice of Extraordinary General Meeting (“EGM”)</w:t>
      </w:r>
    </w:p>
    <w:p w:rsidR="00C819A6" w:rsidRPr="00C819A6" w:rsidRDefault="00C819A6" w:rsidP="00C819A6">
      <w:pPr>
        <w:pStyle w:val="Heading2"/>
        <w:rPr>
          <w:b w:val="0"/>
          <w:color w:val="231F20"/>
          <w:sz w:val="22"/>
          <w:szCs w:val="22"/>
          <w:shd w:val="clear" w:color="auto" w:fill="FFFFFF"/>
        </w:rPr>
      </w:pPr>
    </w:p>
    <w:p w:rsidR="00C819A6" w:rsidRPr="00C819A6" w:rsidRDefault="00C819A6" w:rsidP="00C819A6">
      <w:pPr>
        <w:pStyle w:val="Heading2"/>
        <w:rPr>
          <w:b w:val="0"/>
          <w:color w:val="231F20"/>
          <w:sz w:val="22"/>
          <w:szCs w:val="22"/>
          <w:shd w:val="clear" w:color="auto" w:fill="FFFFFF"/>
        </w:rPr>
      </w:pPr>
      <w:r w:rsidRPr="00C819A6">
        <w:rPr>
          <w:b w:val="0"/>
          <w:color w:val="231F20"/>
          <w:sz w:val="22"/>
          <w:szCs w:val="22"/>
          <w:shd w:val="clear" w:color="auto" w:fill="FFFFFF"/>
        </w:rPr>
        <w:t>Dear Shareholder,</w:t>
      </w:r>
    </w:p>
    <w:p w:rsidR="00C819A6" w:rsidRPr="00C819A6" w:rsidRDefault="00C819A6" w:rsidP="00C819A6">
      <w:pPr>
        <w:pStyle w:val="Heading2"/>
        <w:rPr>
          <w:b w:val="0"/>
          <w:color w:val="231F20"/>
          <w:sz w:val="22"/>
          <w:szCs w:val="22"/>
          <w:shd w:val="clear" w:color="auto" w:fill="FFFFFF"/>
        </w:rPr>
      </w:pPr>
    </w:p>
    <w:p w:rsidR="00C819A6" w:rsidRPr="00C819A6" w:rsidRDefault="00C819A6" w:rsidP="00C819A6">
      <w:pPr>
        <w:pStyle w:val="Heading2"/>
        <w:rPr>
          <w:b w:val="0"/>
          <w:color w:val="231F20"/>
          <w:sz w:val="22"/>
          <w:szCs w:val="22"/>
          <w:shd w:val="clear" w:color="auto" w:fill="FFFFFF"/>
        </w:rPr>
      </w:pPr>
      <w:r w:rsidRPr="00C819A6">
        <w:rPr>
          <w:b w:val="0"/>
          <w:color w:val="231F20"/>
          <w:sz w:val="22"/>
          <w:szCs w:val="22"/>
          <w:shd w:val="clear" w:color="auto" w:fill="FFFFFF"/>
        </w:rPr>
        <w:t>We are writing further to the letter that was recently published by Mr Mark Jackson and Mr Marcus Yeoman (together the “</w:t>
      </w:r>
      <w:proofErr w:type="spellStart"/>
      <w:r w:rsidRPr="00C819A6">
        <w:rPr>
          <w:b w:val="0"/>
          <w:color w:val="231F20"/>
          <w:sz w:val="22"/>
          <w:szCs w:val="22"/>
          <w:shd w:val="clear" w:color="auto" w:fill="FFFFFF"/>
        </w:rPr>
        <w:t>Requisitioners</w:t>
      </w:r>
      <w:proofErr w:type="spellEnd"/>
      <w:r w:rsidRPr="00C819A6">
        <w:rPr>
          <w:b w:val="0"/>
          <w:color w:val="231F20"/>
          <w:sz w:val="22"/>
          <w:szCs w:val="22"/>
          <w:shd w:val="clear" w:color="auto" w:fill="FFFFFF"/>
        </w:rPr>
        <w:t>”), in response to the circular that the Company issued on 28 August 2015.</w:t>
      </w:r>
    </w:p>
    <w:p w:rsidR="00C819A6" w:rsidRPr="00C819A6" w:rsidRDefault="00C819A6" w:rsidP="00C819A6">
      <w:pPr>
        <w:pStyle w:val="Heading2"/>
        <w:rPr>
          <w:b w:val="0"/>
          <w:color w:val="231F20"/>
          <w:sz w:val="22"/>
          <w:szCs w:val="22"/>
          <w:shd w:val="clear" w:color="auto" w:fill="FFFFFF"/>
        </w:rPr>
      </w:pPr>
    </w:p>
    <w:p w:rsidR="00C819A6" w:rsidRPr="00C819A6" w:rsidRDefault="00C819A6" w:rsidP="00C819A6">
      <w:pPr>
        <w:pStyle w:val="Heading2"/>
        <w:rPr>
          <w:b w:val="0"/>
          <w:color w:val="231F20"/>
          <w:sz w:val="22"/>
          <w:szCs w:val="22"/>
          <w:shd w:val="clear" w:color="auto" w:fill="FFFFFF"/>
        </w:rPr>
      </w:pPr>
      <w:r w:rsidRPr="00C819A6">
        <w:rPr>
          <w:b w:val="0"/>
          <w:color w:val="231F20"/>
          <w:sz w:val="22"/>
          <w:szCs w:val="22"/>
          <w:shd w:val="clear" w:color="auto" w:fill="FFFFFF"/>
        </w:rPr>
        <w:t>The board do not wish to engage in a protracted war of words but we would like to draw Shareholder’s attention to the following:</w:t>
      </w:r>
    </w:p>
    <w:p w:rsidR="00C819A6" w:rsidRPr="00C819A6" w:rsidRDefault="00C819A6" w:rsidP="00C819A6">
      <w:pPr>
        <w:pStyle w:val="Heading2"/>
        <w:rPr>
          <w:b w:val="0"/>
          <w:color w:val="231F20"/>
          <w:sz w:val="22"/>
          <w:szCs w:val="22"/>
          <w:shd w:val="clear" w:color="auto" w:fill="FFFFFF"/>
        </w:rPr>
      </w:pPr>
    </w:p>
    <w:p w:rsidR="00C819A6" w:rsidRPr="00C819A6" w:rsidRDefault="00C819A6" w:rsidP="00C819A6">
      <w:pPr>
        <w:pStyle w:val="Heading2"/>
        <w:ind w:left="720" w:hanging="720"/>
        <w:rPr>
          <w:b w:val="0"/>
          <w:color w:val="231F20"/>
          <w:sz w:val="22"/>
          <w:szCs w:val="22"/>
          <w:shd w:val="clear" w:color="auto" w:fill="FFFFFF"/>
        </w:rPr>
      </w:pPr>
      <w:r>
        <w:rPr>
          <w:b w:val="0"/>
          <w:color w:val="231F20"/>
          <w:sz w:val="22"/>
          <w:szCs w:val="22"/>
          <w:shd w:val="clear" w:color="auto" w:fill="FFFFFF"/>
        </w:rPr>
        <w:t>1.</w:t>
      </w:r>
      <w:r>
        <w:rPr>
          <w:b w:val="0"/>
          <w:color w:val="231F20"/>
          <w:sz w:val="22"/>
          <w:szCs w:val="22"/>
          <w:shd w:val="clear" w:color="auto" w:fill="FFFFFF"/>
        </w:rPr>
        <w:tab/>
      </w:r>
      <w:r w:rsidRPr="00C819A6">
        <w:rPr>
          <w:b w:val="0"/>
          <w:color w:val="231F20"/>
          <w:sz w:val="22"/>
          <w:szCs w:val="22"/>
          <w:shd w:val="clear" w:color="auto" w:fill="FFFFFF"/>
        </w:rPr>
        <w:t>Save for a proposal to change the board composition and raise additional capital, in the period that the Company has engaged with Mr Yeoman, being the last eleven months, neither Mr Jackson or Mr Yeoman have presented the board with any detailed/substantive proposals regarding an acquisition or investment opportunity that was capable of being put to the Company’s Shareholders;</w:t>
      </w:r>
    </w:p>
    <w:p w:rsidR="00C819A6" w:rsidRDefault="00C819A6" w:rsidP="00C819A6">
      <w:pPr>
        <w:pStyle w:val="Heading2"/>
        <w:rPr>
          <w:b w:val="0"/>
          <w:color w:val="231F20"/>
          <w:sz w:val="22"/>
          <w:szCs w:val="22"/>
          <w:shd w:val="clear" w:color="auto" w:fill="FFFFFF"/>
        </w:rPr>
      </w:pPr>
    </w:p>
    <w:p w:rsidR="00C819A6" w:rsidRPr="00C819A6" w:rsidRDefault="00C819A6" w:rsidP="00C819A6">
      <w:pPr>
        <w:pStyle w:val="Heading2"/>
        <w:ind w:left="720" w:hanging="720"/>
        <w:rPr>
          <w:b w:val="0"/>
          <w:color w:val="231F20"/>
          <w:sz w:val="22"/>
          <w:szCs w:val="22"/>
          <w:shd w:val="clear" w:color="auto" w:fill="FFFFFF"/>
        </w:rPr>
      </w:pPr>
      <w:r>
        <w:rPr>
          <w:b w:val="0"/>
          <w:color w:val="231F20"/>
          <w:sz w:val="22"/>
          <w:szCs w:val="22"/>
          <w:shd w:val="clear" w:color="auto" w:fill="FFFFFF"/>
        </w:rPr>
        <w:t>2.</w:t>
      </w:r>
      <w:r>
        <w:rPr>
          <w:b w:val="0"/>
          <w:color w:val="231F20"/>
          <w:sz w:val="22"/>
          <w:szCs w:val="22"/>
          <w:shd w:val="clear" w:color="auto" w:fill="FFFFFF"/>
        </w:rPr>
        <w:tab/>
      </w:r>
      <w:r w:rsidRPr="00C819A6">
        <w:rPr>
          <w:b w:val="0"/>
          <w:color w:val="231F20"/>
          <w:sz w:val="22"/>
          <w:szCs w:val="22"/>
          <w:shd w:val="clear" w:color="auto" w:fill="FFFFFF"/>
        </w:rPr>
        <w:t xml:space="preserve">The Company has incurred significant costs in taking advice and convening the proposed EGM demanded by the </w:t>
      </w:r>
      <w:proofErr w:type="spellStart"/>
      <w:r w:rsidRPr="00C819A6">
        <w:rPr>
          <w:b w:val="0"/>
          <w:color w:val="231F20"/>
          <w:sz w:val="22"/>
          <w:szCs w:val="22"/>
          <w:shd w:val="clear" w:color="auto" w:fill="FFFFFF"/>
        </w:rPr>
        <w:t>Requisitioners</w:t>
      </w:r>
      <w:proofErr w:type="spellEnd"/>
      <w:r w:rsidRPr="00C819A6">
        <w:rPr>
          <w:b w:val="0"/>
          <w:color w:val="231F20"/>
          <w:sz w:val="22"/>
          <w:szCs w:val="22"/>
          <w:shd w:val="clear" w:color="auto" w:fill="FFFFFF"/>
        </w:rPr>
        <w:t xml:space="preserve"> which will considerably weaken the Company’s principal asset being the cash on its balance sheet and therefore ultimately reduce Shareholder value;</w:t>
      </w:r>
    </w:p>
    <w:p w:rsidR="00C819A6" w:rsidRDefault="00C819A6" w:rsidP="00C819A6">
      <w:pPr>
        <w:pStyle w:val="Heading2"/>
        <w:rPr>
          <w:b w:val="0"/>
          <w:color w:val="231F20"/>
          <w:sz w:val="22"/>
          <w:szCs w:val="22"/>
          <w:shd w:val="clear" w:color="auto" w:fill="FFFFFF"/>
        </w:rPr>
      </w:pPr>
    </w:p>
    <w:p w:rsidR="00C819A6" w:rsidRPr="00C819A6" w:rsidRDefault="00C819A6" w:rsidP="00C819A6">
      <w:pPr>
        <w:pStyle w:val="Heading2"/>
        <w:ind w:left="720" w:hanging="720"/>
        <w:rPr>
          <w:b w:val="0"/>
          <w:color w:val="231F20"/>
          <w:sz w:val="22"/>
          <w:szCs w:val="22"/>
          <w:shd w:val="clear" w:color="auto" w:fill="FFFFFF"/>
        </w:rPr>
      </w:pPr>
      <w:r>
        <w:rPr>
          <w:b w:val="0"/>
          <w:color w:val="231F20"/>
          <w:sz w:val="22"/>
          <w:szCs w:val="22"/>
          <w:shd w:val="clear" w:color="auto" w:fill="FFFFFF"/>
        </w:rPr>
        <w:t>3.</w:t>
      </w:r>
      <w:r>
        <w:rPr>
          <w:b w:val="0"/>
          <w:color w:val="231F20"/>
          <w:sz w:val="22"/>
          <w:szCs w:val="22"/>
          <w:shd w:val="clear" w:color="auto" w:fill="FFFFFF"/>
        </w:rPr>
        <w:tab/>
      </w:r>
      <w:r w:rsidRPr="00C819A6">
        <w:rPr>
          <w:b w:val="0"/>
          <w:color w:val="231F20"/>
          <w:sz w:val="22"/>
          <w:szCs w:val="22"/>
          <w:shd w:val="clear" w:color="auto" w:fill="FFFFFF"/>
        </w:rPr>
        <w:t>The Board has sourced and spent considerable time and effort considering a number of opportunities in the last twelve months and owing to a number of factors it has been unable to get the support of its significant shareholders to pursue such opportunities; and</w:t>
      </w:r>
    </w:p>
    <w:p w:rsidR="00C819A6" w:rsidRDefault="00C819A6" w:rsidP="00C819A6">
      <w:pPr>
        <w:pStyle w:val="Heading2"/>
        <w:rPr>
          <w:b w:val="0"/>
          <w:color w:val="231F20"/>
          <w:sz w:val="22"/>
          <w:szCs w:val="22"/>
          <w:shd w:val="clear" w:color="auto" w:fill="FFFFFF"/>
        </w:rPr>
      </w:pPr>
    </w:p>
    <w:p w:rsidR="00C819A6" w:rsidRDefault="00C819A6" w:rsidP="00C819A6">
      <w:pPr>
        <w:pStyle w:val="Heading2"/>
        <w:ind w:left="720" w:hanging="720"/>
        <w:rPr>
          <w:b w:val="0"/>
          <w:color w:val="231F20"/>
          <w:sz w:val="22"/>
          <w:szCs w:val="22"/>
          <w:shd w:val="clear" w:color="auto" w:fill="FFFFFF"/>
        </w:rPr>
      </w:pPr>
      <w:r>
        <w:rPr>
          <w:b w:val="0"/>
          <w:color w:val="231F20"/>
          <w:sz w:val="22"/>
          <w:szCs w:val="22"/>
          <w:shd w:val="clear" w:color="auto" w:fill="FFFFFF"/>
        </w:rPr>
        <w:t>4.</w:t>
      </w:r>
      <w:r>
        <w:rPr>
          <w:b w:val="0"/>
          <w:color w:val="231F20"/>
          <w:sz w:val="22"/>
          <w:szCs w:val="22"/>
          <w:shd w:val="clear" w:color="auto" w:fill="FFFFFF"/>
        </w:rPr>
        <w:tab/>
      </w:r>
      <w:r w:rsidRPr="00C819A6">
        <w:rPr>
          <w:b w:val="0"/>
          <w:color w:val="231F20"/>
          <w:sz w:val="22"/>
          <w:szCs w:val="22"/>
          <w:shd w:val="clear" w:color="auto" w:fill="FFFFFF"/>
        </w:rPr>
        <w:t xml:space="preserve">The current proposal has the support of Shore Capital, which holds approximately 22 per cent. </w:t>
      </w:r>
      <w:proofErr w:type="gramStart"/>
      <w:r w:rsidRPr="00C819A6">
        <w:rPr>
          <w:b w:val="0"/>
          <w:color w:val="231F20"/>
          <w:sz w:val="22"/>
          <w:szCs w:val="22"/>
          <w:shd w:val="clear" w:color="auto" w:fill="FFFFFF"/>
        </w:rPr>
        <w:t>of</w:t>
      </w:r>
      <w:proofErr w:type="gramEnd"/>
      <w:r w:rsidRPr="00C819A6">
        <w:rPr>
          <w:b w:val="0"/>
          <w:color w:val="231F20"/>
          <w:sz w:val="22"/>
          <w:szCs w:val="22"/>
          <w:shd w:val="clear" w:color="auto" w:fill="FFFFFF"/>
        </w:rPr>
        <w:t xml:space="preserve"> the Company’s issued share capital.</w:t>
      </w:r>
    </w:p>
    <w:p w:rsidR="00C819A6" w:rsidRPr="00C819A6" w:rsidRDefault="00C819A6" w:rsidP="00C819A6"/>
    <w:p w:rsidR="00C819A6" w:rsidRPr="00C819A6" w:rsidRDefault="00C819A6" w:rsidP="00C819A6">
      <w:pPr>
        <w:pStyle w:val="Heading2"/>
        <w:rPr>
          <w:b w:val="0"/>
          <w:color w:val="231F20"/>
          <w:sz w:val="22"/>
          <w:szCs w:val="22"/>
          <w:shd w:val="clear" w:color="auto" w:fill="FFFFFF"/>
        </w:rPr>
      </w:pPr>
      <w:r w:rsidRPr="00C819A6">
        <w:rPr>
          <w:b w:val="0"/>
          <w:color w:val="231F20"/>
          <w:sz w:val="22"/>
          <w:szCs w:val="22"/>
          <w:shd w:val="clear" w:color="auto" w:fill="FFFFFF"/>
        </w:rPr>
        <w:t>We reiterate our advice set out in the circular dated 28 August 2015 and remind shareholders of our recommendation to vote in the following way:-</w:t>
      </w:r>
    </w:p>
    <w:p w:rsidR="00C819A6" w:rsidRPr="00C819A6" w:rsidRDefault="00C819A6" w:rsidP="00C819A6">
      <w:pPr>
        <w:pStyle w:val="Heading2"/>
        <w:rPr>
          <w:b w:val="0"/>
          <w:color w:val="231F20"/>
          <w:sz w:val="22"/>
          <w:szCs w:val="22"/>
          <w:shd w:val="clear" w:color="auto" w:fill="FFFFFF"/>
        </w:rPr>
      </w:pPr>
    </w:p>
    <w:p w:rsidR="00C819A6" w:rsidRPr="00C819A6" w:rsidRDefault="00C819A6" w:rsidP="00C819A6">
      <w:pPr>
        <w:pStyle w:val="Heading2"/>
        <w:ind w:firstLine="720"/>
        <w:rPr>
          <w:b w:val="0"/>
          <w:color w:val="231F20"/>
          <w:sz w:val="22"/>
          <w:szCs w:val="22"/>
          <w:shd w:val="clear" w:color="auto" w:fill="FFFFFF"/>
        </w:rPr>
      </w:pPr>
      <w:r>
        <w:rPr>
          <w:b w:val="0"/>
          <w:color w:val="231F20"/>
          <w:sz w:val="22"/>
          <w:szCs w:val="22"/>
          <w:shd w:val="clear" w:color="auto" w:fill="FFFFFF"/>
        </w:rPr>
        <w:t>1.</w:t>
      </w:r>
      <w:r>
        <w:rPr>
          <w:b w:val="0"/>
          <w:color w:val="231F20"/>
          <w:sz w:val="22"/>
          <w:szCs w:val="22"/>
          <w:shd w:val="clear" w:color="auto" w:fill="FFFFFF"/>
        </w:rPr>
        <w:tab/>
      </w:r>
      <w:proofErr w:type="gramStart"/>
      <w:r w:rsidRPr="00C819A6">
        <w:rPr>
          <w:b w:val="0"/>
          <w:color w:val="231F20"/>
          <w:sz w:val="22"/>
          <w:szCs w:val="22"/>
          <w:shd w:val="clear" w:color="auto" w:fill="FFFFFF"/>
        </w:rPr>
        <w:t>For</w:t>
      </w:r>
      <w:proofErr w:type="gramEnd"/>
      <w:r w:rsidRPr="00C819A6">
        <w:rPr>
          <w:b w:val="0"/>
          <w:color w:val="231F20"/>
          <w:sz w:val="22"/>
          <w:szCs w:val="22"/>
          <w:shd w:val="clear" w:color="auto" w:fill="FFFFFF"/>
        </w:rPr>
        <w:t xml:space="preserve"> the resolution</w:t>
      </w:r>
    </w:p>
    <w:p w:rsidR="00C819A6" w:rsidRPr="00C819A6" w:rsidRDefault="00C819A6" w:rsidP="00C819A6">
      <w:pPr>
        <w:pStyle w:val="Heading2"/>
        <w:ind w:firstLine="720"/>
        <w:rPr>
          <w:b w:val="0"/>
          <w:color w:val="231F20"/>
          <w:sz w:val="22"/>
          <w:szCs w:val="22"/>
          <w:shd w:val="clear" w:color="auto" w:fill="FFFFFF"/>
        </w:rPr>
      </w:pPr>
      <w:r>
        <w:rPr>
          <w:b w:val="0"/>
          <w:color w:val="231F20"/>
          <w:sz w:val="22"/>
          <w:szCs w:val="22"/>
          <w:shd w:val="clear" w:color="auto" w:fill="FFFFFF"/>
        </w:rPr>
        <w:t>2.</w:t>
      </w:r>
      <w:r>
        <w:rPr>
          <w:b w:val="0"/>
          <w:color w:val="231F20"/>
          <w:sz w:val="22"/>
          <w:szCs w:val="22"/>
          <w:shd w:val="clear" w:color="auto" w:fill="FFFFFF"/>
        </w:rPr>
        <w:tab/>
      </w:r>
      <w:proofErr w:type="gramStart"/>
      <w:r w:rsidRPr="00C819A6">
        <w:rPr>
          <w:b w:val="0"/>
          <w:color w:val="231F20"/>
          <w:sz w:val="22"/>
          <w:szCs w:val="22"/>
          <w:shd w:val="clear" w:color="auto" w:fill="FFFFFF"/>
        </w:rPr>
        <w:t>Against</w:t>
      </w:r>
      <w:proofErr w:type="gramEnd"/>
      <w:r w:rsidRPr="00C819A6">
        <w:rPr>
          <w:b w:val="0"/>
          <w:color w:val="231F20"/>
          <w:sz w:val="22"/>
          <w:szCs w:val="22"/>
          <w:shd w:val="clear" w:color="auto" w:fill="FFFFFF"/>
        </w:rPr>
        <w:t xml:space="preserve"> the resolution</w:t>
      </w:r>
    </w:p>
    <w:p w:rsidR="00C819A6" w:rsidRDefault="00C819A6" w:rsidP="00C819A6">
      <w:pPr>
        <w:pStyle w:val="Heading2"/>
        <w:ind w:firstLine="720"/>
        <w:rPr>
          <w:b w:val="0"/>
          <w:color w:val="231F20"/>
          <w:sz w:val="22"/>
          <w:szCs w:val="22"/>
          <w:shd w:val="clear" w:color="auto" w:fill="FFFFFF"/>
        </w:rPr>
      </w:pPr>
      <w:r>
        <w:rPr>
          <w:b w:val="0"/>
          <w:color w:val="231F20"/>
          <w:sz w:val="22"/>
          <w:szCs w:val="22"/>
          <w:shd w:val="clear" w:color="auto" w:fill="FFFFFF"/>
        </w:rPr>
        <w:t>3.</w:t>
      </w:r>
      <w:r>
        <w:rPr>
          <w:b w:val="0"/>
          <w:color w:val="231F20"/>
          <w:sz w:val="22"/>
          <w:szCs w:val="22"/>
          <w:shd w:val="clear" w:color="auto" w:fill="FFFFFF"/>
        </w:rPr>
        <w:tab/>
      </w:r>
      <w:proofErr w:type="gramStart"/>
      <w:r w:rsidRPr="00C819A6">
        <w:rPr>
          <w:b w:val="0"/>
          <w:color w:val="231F20"/>
          <w:sz w:val="22"/>
          <w:szCs w:val="22"/>
          <w:shd w:val="clear" w:color="auto" w:fill="FFFFFF"/>
        </w:rPr>
        <w:t>Against</w:t>
      </w:r>
      <w:proofErr w:type="gramEnd"/>
      <w:r w:rsidRPr="00C819A6">
        <w:rPr>
          <w:b w:val="0"/>
          <w:color w:val="231F20"/>
          <w:sz w:val="22"/>
          <w:szCs w:val="22"/>
          <w:shd w:val="clear" w:color="auto" w:fill="FFFFFF"/>
        </w:rPr>
        <w:t xml:space="preserve"> the resolution</w:t>
      </w:r>
    </w:p>
    <w:p w:rsidR="00C819A6" w:rsidRPr="00C819A6" w:rsidRDefault="00C819A6" w:rsidP="00C819A6"/>
    <w:p w:rsidR="00C819A6" w:rsidRPr="00C819A6" w:rsidRDefault="00C819A6" w:rsidP="00C819A6">
      <w:pPr>
        <w:pStyle w:val="Heading2"/>
        <w:rPr>
          <w:b w:val="0"/>
          <w:color w:val="231F20"/>
          <w:sz w:val="22"/>
          <w:szCs w:val="22"/>
          <w:shd w:val="clear" w:color="auto" w:fill="FFFFFF"/>
        </w:rPr>
      </w:pPr>
      <w:r w:rsidRPr="00C819A6">
        <w:rPr>
          <w:b w:val="0"/>
          <w:color w:val="231F20"/>
          <w:sz w:val="22"/>
          <w:szCs w:val="22"/>
          <w:shd w:val="clear" w:color="auto" w:fill="FFFFFF"/>
        </w:rPr>
        <w:t>It is important for shareholders holding shares in a nominee company to ensure that the nominee registers their votes before 11am on the 14 September 2015.</w:t>
      </w:r>
    </w:p>
    <w:p w:rsidR="00C819A6" w:rsidRPr="00C819A6" w:rsidRDefault="00C819A6" w:rsidP="00C819A6">
      <w:pPr>
        <w:pStyle w:val="Heading2"/>
        <w:rPr>
          <w:b w:val="0"/>
          <w:color w:val="231F20"/>
          <w:sz w:val="22"/>
          <w:szCs w:val="22"/>
          <w:shd w:val="clear" w:color="auto" w:fill="FFFFFF"/>
        </w:rPr>
      </w:pPr>
    </w:p>
    <w:p w:rsidR="00C819A6" w:rsidRPr="00C819A6" w:rsidRDefault="00C819A6" w:rsidP="00C819A6">
      <w:pPr>
        <w:pStyle w:val="Heading2"/>
        <w:rPr>
          <w:b w:val="0"/>
          <w:color w:val="231F20"/>
          <w:sz w:val="22"/>
          <w:szCs w:val="22"/>
          <w:shd w:val="clear" w:color="auto" w:fill="FFFFFF"/>
        </w:rPr>
      </w:pPr>
      <w:r w:rsidRPr="00C819A6">
        <w:rPr>
          <w:b w:val="0"/>
          <w:color w:val="231F20"/>
          <w:sz w:val="22"/>
          <w:szCs w:val="22"/>
          <w:shd w:val="clear" w:color="auto" w:fill="FFFFFF"/>
        </w:rPr>
        <w:t>Yours faithfully</w:t>
      </w:r>
    </w:p>
    <w:p w:rsidR="00C819A6" w:rsidRDefault="00C819A6" w:rsidP="00C819A6">
      <w:pPr>
        <w:pStyle w:val="Heading2"/>
        <w:rPr>
          <w:b w:val="0"/>
          <w:color w:val="231F20"/>
          <w:sz w:val="22"/>
          <w:szCs w:val="22"/>
          <w:shd w:val="clear" w:color="auto" w:fill="FFFFFF"/>
        </w:rPr>
      </w:pPr>
    </w:p>
    <w:p w:rsidR="00C819A6" w:rsidRPr="00C819A6" w:rsidRDefault="00C819A6" w:rsidP="00C819A6"/>
    <w:p w:rsidR="00C819A6" w:rsidRPr="00C819A6" w:rsidRDefault="00C819A6" w:rsidP="00C819A6">
      <w:pPr>
        <w:pStyle w:val="Heading2"/>
        <w:rPr>
          <w:color w:val="231F20"/>
          <w:sz w:val="22"/>
          <w:szCs w:val="22"/>
          <w:shd w:val="clear" w:color="auto" w:fill="FFFFFF"/>
        </w:rPr>
      </w:pPr>
      <w:r w:rsidRPr="00C819A6">
        <w:rPr>
          <w:color w:val="231F20"/>
          <w:sz w:val="22"/>
          <w:szCs w:val="22"/>
          <w:shd w:val="clear" w:color="auto" w:fill="FFFFFF"/>
        </w:rPr>
        <w:t>David Craine/Derek Short</w:t>
      </w:r>
    </w:p>
    <w:p w:rsidR="00C819A6" w:rsidRPr="00C819A6" w:rsidRDefault="00C819A6" w:rsidP="00C819A6">
      <w:pPr>
        <w:pStyle w:val="Heading2"/>
        <w:rPr>
          <w:sz w:val="22"/>
          <w:szCs w:val="22"/>
          <w:shd w:val="clear" w:color="auto" w:fill="FFFFFF"/>
        </w:rPr>
      </w:pPr>
      <w:r w:rsidRPr="00C819A6">
        <w:rPr>
          <w:sz w:val="22"/>
          <w:szCs w:val="22"/>
          <w:shd w:val="clear" w:color="auto" w:fill="FFFFFF"/>
        </w:rPr>
        <w:t>Non-Executive Directors</w:t>
      </w:r>
    </w:p>
    <w:p w:rsidR="00C819A6" w:rsidRDefault="00C819A6" w:rsidP="006A6D41">
      <w:pPr>
        <w:jc w:val="both"/>
      </w:pPr>
    </w:p>
    <w:sectPr w:rsidR="00C819A6" w:rsidSect="00F65463">
      <w:headerReference w:type="default" r:id="rId9"/>
      <w:footerReference w:type="default" r:id="rId10"/>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804" w:rsidRDefault="005A2804">
      <w:r>
        <w:separator/>
      </w:r>
    </w:p>
  </w:endnote>
  <w:endnote w:type="continuationSeparator" w:id="0">
    <w:p w:rsidR="005A2804" w:rsidRDefault="005A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5A4" w:rsidRDefault="006B55A4">
    <w:pPr>
      <w:pStyle w:val="Footer"/>
      <w:jc w:val="center"/>
      <w:rPr>
        <w:sz w:val="18"/>
      </w:rPr>
    </w:pPr>
    <w:r>
      <w:rPr>
        <w:sz w:val="18"/>
      </w:rPr>
      <w:t xml:space="preserve">Registered in the </w:t>
    </w:r>
    <w:smartTag w:uri="urn:schemas-microsoft-com:office:smarttags" w:element="place">
      <w:r>
        <w:rPr>
          <w:sz w:val="18"/>
        </w:rPr>
        <w:t>Isle of Man</w:t>
      </w:r>
    </w:smartTag>
    <w:r>
      <w:rPr>
        <w:sz w:val="18"/>
      </w:rPr>
      <w:t xml:space="preserve"> No: 111066C</w:t>
    </w:r>
  </w:p>
  <w:p w:rsidR="006B55A4" w:rsidRDefault="006B55A4">
    <w:pPr>
      <w:pStyle w:val="Footer"/>
      <w:jc w:val="center"/>
      <w:rPr>
        <w:sz w:val="20"/>
      </w:rPr>
    </w:pPr>
    <w:r>
      <w:rPr>
        <w:sz w:val="18"/>
      </w:rPr>
      <w:t>Directors:  D. Short, D Craine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804" w:rsidRDefault="005A2804">
      <w:r>
        <w:separator/>
      </w:r>
    </w:p>
  </w:footnote>
  <w:footnote w:type="continuationSeparator" w:id="0">
    <w:p w:rsidR="005A2804" w:rsidRDefault="005A28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5A4" w:rsidRDefault="006B55A4">
    <w:pPr>
      <w:pStyle w:val="Header"/>
      <w:rPr>
        <w:sz w:val="52"/>
        <w:u w:val="single"/>
      </w:rPr>
    </w:pPr>
    <w:r>
      <w:rPr>
        <w:sz w:val="52"/>
        <w:u w:val="single"/>
      </w:rPr>
      <w:t>The Hotel Corporation Plc</w:t>
    </w:r>
    <w:r>
      <w:rPr>
        <w:sz w:val="52"/>
        <w:u w:val="single"/>
      </w:rPr>
      <w:tab/>
    </w:r>
  </w:p>
  <w:p w:rsidR="006B55A4" w:rsidRDefault="006B55A4">
    <w:pPr>
      <w:pStyle w:val="Header"/>
      <w:rPr>
        <w:sz w:val="20"/>
      </w:rPr>
    </w:pPr>
    <w:r>
      <w:rPr>
        <w:sz w:val="20"/>
      </w:rPr>
      <w:t xml:space="preserve">Burleigh Manor, </w:t>
    </w:r>
    <w:smartTag w:uri="urn:schemas-microsoft-com:office:smarttags" w:element="Street">
      <w:smartTag w:uri="urn:schemas-microsoft-com:office:smarttags" w:element="address">
        <w:r>
          <w:rPr>
            <w:sz w:val="20"/>
          </w:rPr>
          <w:t>Peel Road</w:t>
        </w:r>
      </w:smartTag>
    </w:smartTag>
    <w:r>
      <w:rPr>
        <w:sz w:val="20"/>
      </w:rPr>
      <w:t xml:space="preserve">, </w:t>
    </w:r>
    <w:smartTag w:uri="urn:schemas-microsoft-com:office:smarttags" w:element="place">
      <w:r>
        <w:rPr>
          <w:sz w:val="20"/>
        </w:rPr>
        <w:t>Douglas</w:t>
      </w:r>
    </w:smartTag>
    <w:r>
      <w:rPr>
        <w:sz w:val="20"/>
      </w:rPr>
      <w:t>, Isle of Man IM1 5EP</w:t>
    </w:r>
  </w:p>
  <w:p w:rsidR="006B55A4" w:rsidRDefault="006B55A4">
    <w:pPr>
      <w:pStyle w:val="Header"/>
      <w:rPr>
        <w:sz w:val="20"/>
      </w:rPr>
    </w:pPr>
    <w:r>
      <w:rPr>
        <w:sz w:val="20"/>
      </w:rPr>
      <w:t>Telephone Number: +44 (0) 1624 626586 Facsimile Number: +44 (0) 1624 612960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21C80"/>
    <w:multiLevelType w:val="hybridMultilevel"/>
    <w:tmpl w:val="15EAFDA6"/>
    <w:lvl w:ilvl="0" w:tplc="823E18A4">
      <w:start w:val="1"/>
      <w:numFmt w:val="decimal"/>
      <w:lvlText w:val="%1."/>
      <w:lvlJc w:val="left"/>
      <w:pPr>
        <w:tabs>
          <w:tab w:val="num" w:pos="720"/>
        </w:tabs>
        <w:ind w:left="720" w:hanging="720"/>
      </w:pPr>
      <w:rPr>
        <w:rFonts w:hint="default"/>
        <w:b w:val="0"/>
        <w:i w:val="0"/>
        <w:szCs w:val="22"/>
      </w:rPr>
    </w:lvl>
    <w:lvl w:ilvl="1" w:tplc="0809000F">
      <w:start w:val="1"/>
      <w:numFmt w:val="decimal"/>
      <w:lvlText w:val="%2."/>
      <w:lvlJc w:val="left"/>
      <w:pPr>
        <w:tabs>
          <w:tab w:val="num" w:pos="1440"/>
        </w:tabs>
        <w:ind w:left="1440" w:hanging="360"/>
      </w:pPr>
      <w:rPr>
        <w:rFonts w:hint="default"/>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4003CB6"/>
    <w:multiLevelType w:val="hybridMultilevel"/>
    <w:tmpl w:val="B9DEEBD4"/>
    <w:lvl w:ilvl="0" w:tplc="4F76BD94">
      <w:start w:val="1"/>
      <w:numFmt w:val="bullet"/>
      <w:lvlText w:val=""/>
      <w:lvlJc w:val="left"/>
      <w:pPr>
        <w:tabs>
          <w:tab w:val="num" w:pos="1069"/>
        </w:tabs>
        <w:ind w:left="1069" w:hanging="360"/>
      </w:pPr>
      <w:rPr>
        <w:rFonts w:ascii="Wingdings" w:hAnsi="Wingdings" w:hint="default"/>
        <w:color w:val="auto"/>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2">
    <w:nsid w:val="2BCF5A69"/>
    <w:multiLevelType w:val="hybridMultilevel"/>
    <w:tmpl w:val="4FEEB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2F16BA9"/>
    <w:multiLevelType w:val="singleLevel"/>
    <w:tmpl w:val="00000000"/>
    <w:lvl w:ilvl="0">
      <w:start w:val="1"/>
      <w:numFmt w:val="bullet"/>
      <w:lvlText w:val="l"/>
      <w:legacy w:legacy="1" w:legacySpace="0" w:legacyIndent="709"/>
      <w:lvlJc w:val="left"/>
      <w:pPr>
        <w:ind w:left="709" w:hanging="709"/>
      </w:pPr>
      <w:rPr>
        <w:rFonts w:ascii="Wingdings" w:hAnsi="Wingdings" w:hint="default"/>
        <w:sz w:val="16"/>
      </w:rPr>
    </w:lvl>
  </w:abstractNum>
  <w:abstractNum w:abstractNumId="4">
    <w:nsid w:val="6D465D70"/>
    <w:multiLevelType w:val="hybridMultilevel"/>
    <w:tmpl w:val="1206A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2E5E21"/>
    <w:multiLevelType w:val="singleLevel"/>
    <w:tmpl w:val="00000000"/>
    <w:lvl w:ilvl="0">
      <w:start w:val="1"/>
      <w:numFmt w:val="decimal"/>
      <w:lvlText w:val="%1."/>
      <w:legacy w:legacy="1" w:legacySpace="0" w:legacyIndent="709"/>
      <w:lvlJc w:val="left"/>
      <w:pPr>
        <w:ind w:left="709" w:hanging="709"/>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DBF"/>
    <w:rsid w:val="000035CD"/>
    <w:rsid w:val="00093FC1"/>
    <w:rsid w:val="001300C8"/>
    <w:rsid w:val="00257EC3"/>
    <w:rsid w:val="0032197B"/>
    <w:rsid w:val="00470AC2"/>
    <w:rsid w:val="005A2804"/>
    <w:rsid w:val="005F53A6"/>
    <w:rsid w:val="006A6D41"/>
    <w:rsid w:val="006B55A4"/>
    <w:rsid w:val="006D01A0"/>
    <w:rsid w:val="007525C8"/>
    <w:rsid w:val="008B4090"/>
    <w:rsid w:val="008E378C"/>
    <w:rsid w:val="008F15D1"/>
    <w:rsid w:val="00AC763F"/>
    <w:rsid w:val="00B66A5A"/>
    <w:rsid w:val="00C819A6"/>
    <w:rsid w:val="00D36750"/>
    <w:rsid w:val="00E20898"/>
    <w:rsid w:val="00E96DBF"/>
    <w:rsid w:val="00EE3723"/>
    <w:rsid w:val="00F65463"/>
    <w:rsid w:val="00F857B1"/>
    <w:rsid w:val="00FB6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bCs/>
      <w:u w:val="single"/>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semiHidden/>
    <w:rsid w:val="00E96DBF"/>
    <w:pPr>
      <w:jc w:val="both"/>
    </w:pPr>
    <w:rPr>
      <w:lang w:eastAsia="en-GB"/>
    </w:rPr>
  </w:style>
  <w:style w:type="paragraph" w:styleId="BodyText">
    <w:name w:val="Body Text"/>
    <w:basedOn w:val="Normal"/>
    <w:rsid w:val="00E96DBF"/>
    <w:pPr>
      <w:jc w:val="both"/>
    </w:pPr>
    <w:rPr>
      <w:b/>
      <w:sz w:val="20"/>
      <w:lang w:eastAsia="en-GB"/>
    </w:rPr>
  </w:style>
  <w:style w:type="paragraph" w:styleId="BalloonText">
    <w:name w:val="Balloon Text"/>
    <w:basedOn w:val="Normal"/>
    <w:semiHidden/>
    <w:rsid w:val="00AC763F"/>
    <w:rPr>
      <w:rFonts w:ascii="Tahoma" w:hAnsi="Tahoma" w:cs="Tahoma"/>
      <w:sz w:val="16"/>
      <w:szCs w:val="16"/>
    </w:rPr>
  </w:style>
  <w:style w:type="paragraph" w:styleId="NoSpacing">
    <w:name w:val="No Spacing"/>
    <w:uiPriority w:val="1"/>
    <w:qFormat/>
    <w:rsid w:val="00D36750"/>
    <w:rPr>
      <w:rFonts w:ascii="Calibri" w:eastAsia="Calibri" w:hAnsi="Calibri"/>
      <w:sz w:val="22"/>
      <w:szCs w:val="22"/>
      <w:lang w:eastAsia="en-US"/>
    </w:rPr>
  </w:style>
  <w:style w:type="paragraph" w:customStyle="1" w:styleId="note">
    <w:name w:val="note"/>
    <w:basedOn w:val="Normal"/>
    <w:rsid w:val="000035CD"/>
    <w:pPr>
      <w:tabs>
        <w:tab w:val="left" w:pos="1440"/>
      </w:tabs>
      <w:spacing w:after="240"/>
    </w:pPr>
    <w:rPr>
      <w:b/>
      <w:i/>
      <w:sz w:val="20"/>
      <w:lang w:eastAsia="en-GB"/>
    </w:rPr>
  </w:style>
  <w:style w:type="character" w:styleId="CommentReference">
    <w:name w:val="annotation reference"/>
    <w:semiHidden/>
    <w:rsid w:val="000035CD"/>
    <w:rPr>
      <w:sz w:val="16"/>
      <w:szCs w:val="16"/>
    </w:rPr>
  </w:style>
  <w:style w:type="paragraph" w:customStyle="1" w:styleId="cb">
    <w:name w:val="cb"/>
    <w:basedOn w:val="Normal"/>
    <w:rsid w:val="00C819A6"/>
    <w:pPr>
      <w:spacing w:before="100" w:beforeAutospacing="1" w:after="100" w:afterAutospacing="1"/>
    </w:pPr>
    <w:rPr>
      <w:szCs w:val="24"/>
      <w:lang w:eastAsia="en-GB"/>
    </w:rPr>
  </w:style>
  <w:style w:type="character" w:customStyle="1" w:styleId="cc">
    <w:name w:val="cc"/>
    <w:basedOn w:val="DefaultParagraphFont"/>
    <w:rsid w:val="00C819A6"/>
  </w:style>
  <w:style w:type="character" w:customStyle="1" w:styleId="ca">
    <w:name w:val="ca"/>
    <w:basedOn w:val="DefaultParagraphFont"/>
    <w:rsid w:val="00C819A6"/>
  </w:style>
  <w:style w:type="paragraph" w:customStyle="1" w:styleId="cd">
    <w:name w:val="cd"/>
    <w:basedOn w:val="Normal"/>
    <w:rsid w:val="00C819A6"/>
    <w:pPr>
      <w:spacing w:before="100" w:beforeAutospacing="1" w:after="100" w:afterAutospacing="1"/>
    </w:pPr>
    <w:rPr>
      <w:szCs w:val="24"/>
      <w:lang w:eastAsia="en-GB"/>
    </w:rPr>
  </w:style>
  <w:style w:type="character" w:customStyle="1" w:styleId="bt">
    <w:name w:val="bt"/>
    <w:basedOn w:val="DefaultParagraphFont"/>
    <w:rsid w:val="00C819A6"/>
  </w:style>
  <w:style w:type="paragraph" w:styleId="ListParagraph">
    <w:name w:val="List Paragraph"/>
    <w:basedOn w:val="Normal"/>
    <w:uiPriority w:val="34"/>
    <w:qFormat/>
    <w:rsid w:val="00C819A6"/>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bCs/>
      <w:u w:val="single"/>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semiHidden/>
    <w:rsid w:val="00E96DBF"/>
    <w:pPr>
      <w:jc w:val="both"/>
    </w:pPr>
    <w:rPr>
      <w:lang w:eastAsia="en-GB"/>
    </w:rPr>
  </w:style>
  <w:style w:type="paragraph" w:styleId="BodyText">
    <w:name w:val="Body Text"/>
    <w:basedOn w:val="Normal"/>
    <w:rsid w:val="00E96DBF"/>
    <w:pPr>
      <w:jc w:val="both"/>
    </w:pPr>
    <w:rPr>
      <w:b/>
      <w:sz w:val="20"/>
      <w:lang w:eastAsia="en-GB"/>
    </w:rPr>
  </w:style>
  <w:style w:type="paragraph" w:styleId="BalloonText">
    <w:name w:val="Balloon Text"/>
    <w:basedOn w:val="Normal"/>
    <w:semiHidden/>
    <w:rsid w:val="00AC763F"/>
    <w:rPr>
      <w:rFonts w:ascii="Tahoma" w:hAnsi="Tahoma" w:cs="Tahoma"/>
      <w:sz w:val="16"/>
      <w:szCs w:val="16"/>
    </w:rPr>
  </w:style>
  <w:style w:type="paragraph" w:styleId="NoSpacing">
    <w:name w:val="No Spacing"/>
    <w:uiPriority w:val="1"/>
    <w:qFormat/>
    <w:rsid w:val="00D36750"/>
    <w:rPr>
      <w:rFonts w:ascii="Calibri" w:eastAsia="Calibri" w:hAnsi="Calibri"/>
      <w:sz w:val="22"/>
      <w:szCs w:val="22"/>
      <w:lang w:eastAsia="en-US"/>
    </w:rPr>
  </w:style>
  <w:style w:type="paragraph" w:customStyle="1" w:styleId="note">
    <w:name w:val="note"/>
    <w:basedOn w:val="Normal"/>
    <w:rsid w:val="000035CD"/>
    <w:pPr>
      <w:tabs>
        <w:tab w:val="left" w:pos="1440"/>
      </w:tabs>
      <w:spacing w:after="240"/>
    </w:pPr>
    <w:rPr>
      <w:b/>
      <w:i/>
      <w:sz w:val="20"/>
      <w:lang w:eastAsia="en-GB"/>
    </w:rPr>
  </w:style>
  <w:style w:type="character" w:styleId="CommentReference">
    <w:name w:val="annotation reference"/>
    <w:semiHidden/>
    <w:rsid w:val="000035CD"/>
    <w:rPr>
      <w:sz w:val="16"/>
      <w:szCs w:val="16"/>
    </w:rPr>
  </w:style>
  <w:style w:type="paragraph" w:customStyle="1" w:styleId="cb">
    <w:name w:val="cb"/>
    <w:basedOn w:val="Normal"/>
    <w:rsid w:val="00C819A6"/>
    <w:pPr>
      <w:spacing w:before="100" w:beforeAutospacing="1" w:after="100" w:afterAutospacing="1"/>
    </w:pPr>
    <w:rPr>
      <w:szCs w:val="24"/>
      <w:lang w:eastAsia="en-GB"/>
    </w:rPr>
  </w:style>
  <w:style w:type="character" w:customStyle="1" w:styleId="cc">
    <w:name w:val="cc"/>
    <w:basedOn w:val="DefaultParagraphFont"/>
    <w:rsid w:val="00C819A6"/>
  </w:style>
  <w:style w:type="character" w:customStyle="1" w:styleId="ca">
    <w:name w:val="ca"/>
    <w:basedOn w:val="DefaultParagraphFont"/>
    <w:rsid w:val="00C819A6"/>
  </w:style>
  <w:style w:type="paragraph" w:customStyle="1" w:styleId="cd">
    <w:name w:val="cd"/>
    <w:basedOn w:val="Normal"/>
    <w:rsid w:val="00C819A6"/>
    <w:pPr>
      <w:spacing w:before="100" w:beforeAutospacing="1" w:after="100" w:afterAutospacing="1"/>
    </w:pPr>
    <w:rPr>
      <w:szCs w:val="24"/>
      <w:lang w:eastAsia="en-GB"/>
    </w:rPr>
  </w:style>
  <w:style w:type="character" w:customStyle="1" w:styleId="bt">
    <w:name w:val="bt"/>
    <w:basedOn w:val="DefaultParagraphFont"/>
    <w:rsid w:val="00C819A6"/>
  </w:style>
  <w:style w:type="paragraph" w:styleId="ListParagraph">
    <w:name w:val="List Paragraph"/>
    <w:basedOn w:val="Normal"/>
    <w:uiPriority w:val="34"/>
    <w:qFormat/>
    <w:rsid w:val="00C819A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0DB58-FA74-4B3A-B820-F84BCE14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1668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DPC/AMK/1224</vt:lpstr>
    </vt:vector>
  </TitlesOfParts>
  <Company>Brown Craine &amp; Co</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DPC/AMK/1224</dc:title>
  <dc:creator>Akeenan</dc:creator>
  <cp:lastModifiedBy>Aurelie Schubnel</cp:lastModifiedBy>
  <cp:revision>2</cp:revision>
  <cp:lastPrinted>2014-06-23T12:32:00Z</cp:lastPrinted>
  <dcterms:created xsi:type="dcterms:W3CDTF">2016-09-29T17:10:00Z</dcterms:created>
  <dcterms:modified xsi:type="dcterms:W3CDTF">2016-09-29T17:10:00Z</dcterms:modified>
</cp:coreProperties>
</file>